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1EEC5" w14:textId="77777777" w:rsidR="00D604C2" w:rsidRDefault="00D604C2" w:rsidP="00410841">
      <w:pPr>
        <w:rPr>
          <w:rFonts w:cstheme="minorHAnsi"/>
          <w:b/>
          <w:sz w:val="24"/>
          <w:szCs w:val="24"/>
          <w:u w:val="single"/>
        </w:rPr>
      </w:pPr>
      <w:r>
        <w:rPr>
          <w:rFonts w:cstheme="minorHAnsi"/>
          <w:noProof/>
          <w:sz w:val="24"/>
          <w:szCs w:val="24"/>
          <w:lang w:eastAsia="en-GB"/>
        </w:rPr>
        <mc:AlternateContent>
          <mc:Choice Requires="wps">
            <w:drawing>
              <wp:anchor distT="0" distB="0" distL="114300" distR="114300" simplePos="0" relativeHeight="251669504" behindDoc="0" locked="0" layoutInCell="1" allowOverlap="1" wp14:anchorId="735AE9B4" wp14:editId="1149DD1F">
                <wp:simplePos x="0" y="0"/>
                <wp:positionH relativeFrom="column">
                  <wp:posOffset>-179070</wp:posOffset>
                </wp:positionH>
                <wp:positionV relativeFrom="page">
                  <wp:posOffset>384810</wp:posOffset>
                </wp:positionV>
                <wp:extent cx="7052310" cy="9979025"/>
                <wp:effectExtent l="19050" t="19050" r="34290" b="41275"/>
                <wp:wrapNone/>
                <wp:docPr id="9" name="Rectangle 9"/>
                <wp:cNvGraphicFramePr/>
                <a:graphic xmlns:a="http://schemas.openxmlformats.org/drawingml/2006/main">
                  <a:graphicData uri="http://schemas.microsoft.com/office/word/2010/wordprocessingShape">
                    <wps:wsp>
                      <wps:cNvSpPr/>
                      <wps:spPr>
                        <a:xfrm flipH="1">
                          <a:off x="0" y="0"/>
                          <a:ext cx="7052310" cy="9979025"/>
                        </a:xfrm>
                        <a:prstGeom prst="rect">
                          <a:avLst/>
                        </a:prstGeom>
                        <a:noFill/>
                        <a:ln w="5715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FC5F4" id="Rectangle 9" o:spid="_x0000_s1026" style="position:absolute;margin-left:-14.1pt;margin-top:30.3pt;width:555.3pt;height:785.7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IQXpQIAAJoFAAAOAAAAZHJzL2Uyb0RvYy54bWysVN9v2yAQfp+0/wHxvtrJmqWx6lRRqm6T&#10;qrZqO/WZYEiQMMeAxMn++h3guFFX7WGaHyyOu/uO735dXu1bTXbCeQWmpqOzkhJhODTKrGv64/nm&#10;0wUlPjDTMA1G1PQgPL2af/xw2dlKjGEDuhGOIIjxVWdrugnBVkXh+Ua0zJ+BFQaVElzLAopuXTSO&#10;dYje6mJcll+KDlxjHXDhPd5eZyWdJ3wpBQ/3UnoRiK4pvi2kv0v/VfwX80tWrR2zG8X7Z7B/eEXL&#10;lMGgA9Q1C4xsnfoDqlXcgQcZzji0BUipuEgckM2ofMPmacOsSFwwOd4OafL/D5bf7R4cUU1NZ5QY&#10;1mKJHjFpzKy1ILOYns76Cq2e7IPrJY/HyHUvXUukVvYbVj6xRz5kn5J7GJIr9oFwvJyWk/HnEdaA&#10;o242m87K8STiFxkoAlrnw1cBLYmHmjp8SIJlu1sfsunRJJobuFFa4z2rtCFdTSfT0aRMHh60aqI2&#10;Kr1br5bakR2LTVBOy2WqOwY+MUNJG3xNpJsJplM4aJEDPAqJeUIi4xwhdqgYYBnnwoScBb9hjcjR&#10;JiV+PcvU09EjcdYGASOyxFcO2D3A+9g5A719dBWpwQfnnvrfnAePFBlMGJxbZcC9x0wjqz5ytj8m&#10;KacmZmkFzQG7yEEeL2/5jcIK3jIfHpjDecKq444I9/iTGrBS0J8o2YD79d59tMc2Ry0lHc5nTf3P&#10;LXOCEv3d4ADMRufncaCTcD6ZjlFwp5rVqcZs2yVg9Ue4jSxPx2gf9PEoHbQvuEoWMSqqmOEYu6Y8&#10;uKOwDHlv4DLiYrFIZjjEloVb82T5cQZihz7vX5izfRsHnIA7OM4yq950c7aN9TCw2AaQKrX6a177&#10;fOMCSI3TL6u4YU7lZPW6Uue/AQAA//8DAFBLAwQUAAYACAAAACEA91HvUuMAAAAMAQAADwAAAGRy&#10;cy9kb3ducmV2LnhtbEyPwUoDMRCG74LvEEbw1iaNEpZ1s0UqhYp4sBWKt3Qz3d26mSybtF19etNT&#10;vc0wH/98fzEfXcdOOITWk4bZVABDqrxtqdbwuVlOMmAhGrKm84QafjDAvLy9KUxu/Zk+8LSONUsh&#10;FHKjoYmxzzkPVYPOhKnvkdJt7wdnYlqHmtvBnFO467gUQnFnWkofGtPjosHqe310Gvxy+7K1h6/q&#10;dcH9Sr31G/G++tX6/m58fgIWcYxXGC76SR3K5LTzR7KBdRomMpMJ1aCEAnYBRCYfge3SpB7kDHhZ&#10;8P8lyj8AAAD//wMAUEsBAi0AFAAGAAgAAAAhALaDOJL+AAAA4QEAABMAAAAAAAAAAAAAAAAAAAAA&#10;AFtDb250ZW50X1R5cGVzXS54bWxQSwECLQAUAAYACAAAACEAOP0h/9YAAACUAQAACwAAAAAAAAAA&#10;AAAAAAAvAQAAX3JlbHMvLnJlbHNQSwECLQAUAAYACAAAACEALxCEF6UCAACaBQAADgAAAAAAAAAA&#10;AAAAAAAuAgAAZHJzL2Uyb0RvYy54bWxQSwECLQAUAAYACAAAACEA91HvUuMAAAAMAQAADwAAAAAA&#10;AAAAAAAAAAD/BAAAZHJzL2Rvd25yZXYueG1sUEsFBgAAAAAEAAQA8wAAAA8GAAAAAA==&#10;" filled="f" strokecolor="#0070c0" strokeweight="4.5pt">
                <w10:wrap anchory="page"/>
              </v:rect>
            </w:pict>
          </mc:Fallback>
        </mc:AlternateContent>
      </w:r>
    </w:p>
    <w:p w14:paraId="68E1E7E9" w14:textId="75B64FFB" w:rsidR="00D604C2" w:rsidRDefault="00D604C2" w:rsidP="00D604C2">
      <w:pPr>
        <w:tabs>
          <w:tab w:val="left" w:pos="1788"/>
        </w:tabs>
        <w:rPr>
          <w:rFonts w:cstheme="minorHAnsi"/>
          <w:b/>
          <w:sz w:val="24"/>
          <w:szCs w:val="24"/>
          <w:u w:val="single"/>
        </w:rPr>
      </w:pPr>
    </w:p>
    <w:p w14:paraId="3D8AC8A9" w14:textId="3AA11102" w:rsidR="00D604C2" w:rsidRDefault="0052507B" w:rsidP="00D604C2">
      <w:pPr>
        <w:tabs>
          <w:tab w:val="left" w:pos="1788"/>
        </w:tabs>
        <w:rPr>
          <w:rFonts w:cstheme="minorHAnsi"/>
          <w:b/>
          <w:sz w:val="24"/>
          <w:szCs w:val="24"/>
          <w:u w:val="single"/>
        </w:rPr>
      </w:pPr>
      <w:r>
        <w:rPr>
          <w:rFonts w:cstheme="minorHAnsi"/>
          <w:b/>
          <w:noProof/>
          <w:sz w:val="24"/>
          <w:szCs w:val="24"/>
          <w:u w:val="single"/>
        </w:rPr>
        <w:drawing>
          <wp:anchor distT="0" distB="0" distL="114300" distR="114300" simplePos="0" relativeHeight="251670528" behindDoc="0" locked="0" layoutInCell="1" allowOverlap="1" wp14:anchorId="048579AD" wp14:editId="2088BF1C">
            <wp:simplePos x="0" y="0"/>
            <wp:positionH relativeFrom="column">
              <wp:posOffset>1645920</wp:posOffset>
            </wp:positionH>
            <wp:positionV relativeFrom="paragraph">
              <wp:posOffset>172720</wp:posOffset>
            </wp:positionV>
            <wp:extent cx="3246120" cy="322669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8891" cy="3229448"/>
                    </a:xfrm>
                    <a:prstGeom prst="rect">
                      <a:avLst/>
                    </a:prstGeom>
                    <a:noFill/>
                  </pic:spPr>
                </pic:pic>
              </a:graphicData>
            </a:graphic>
            <wp14:sizeRelH relativeFrom="margin">
              <wp14:pctWidth>0</wp14:pctWidth>
            </wp14:sizeRelH>
            <wp14:sizeRelV relativeFrom="margin">
              <wp14:pctHeight>0</wp14:pctHeight>
            </wp14:sizeRelV>
          </wp:anchor>
        </w:drawing>
      </w:r>
    </w:p>
    <w:p w14:paraId="1040CE45" w14:textId="77777777" w:rsidR="00D604C2" w:rsidRDefault="00D604C2" w:rsidP="00D604C2">
      <w:pPr>
        <w:tabs>
          <w:tab w:val="left" w:pos="1788"/>
        </w:tabs>
        <w:rPr>
          <w:rFonts w:cstheme="minorHAnsi"/>
          <w:b/>
          <w:sz w:val="24"/>
          <w:szCs w:val="24"/>
          <w:u w:val="single"/>
        </w:rPr>
      </w:pPr>
    </w:p>
    <w:p w14:paraId="2135DC80" w14:textId="77777777" w:rsidR="00D604C2" w:rsidRDefault="00D604C2" w:rsidP="00D604C2">
      <w:pPr>
        <w:tabs>
          <w:tab w:val="left" w:pos="1788"/>
        </w:tabs>
        <w:rPr>
          <w:rFonts w:cstheme="minorHAnsi"/>
          <w:b/>
          <w:sz w:val="24"/>
          <w:szCs w:val="24"/>
          <w:u w:val="single"/>
        </w:rPr>
      </w:pPr>
    </w:p>
    <w:p w14:paraId="2A58CD27" w14:textId="77777777" w:rsidR="00D604C2" w:rsidRDefault="00D604C2" w:rsidP="00D604C2">
      <w:pPr>
        <w:tabs>
          <w:tab w:val="left" w:pos="1788"/>
        </w:tabs>
        <w:rPr>
          <w:rFonts w:cstheme="minorHAnsi"/>
          <w:b/>
          <w:sz w:val="24"/>
          <w:szCs w:val="24"/>
          <w:u w:val="single"/>
        </w:rPr>
      </w:pPr>
    </w:p>
    <w:p w14:paraId="2BC322EB" w14:textId="77777777" w:rsidR="00D604C2" w:rsidRDefault="00D604C2" w:rsidP="00D604C2">
      <w:pPr>
        <w:tabs>
          <w:tab w:val="left" w:pos="1788"/>
        </w:tabs>
        <w:rPr>
          <w:rFonts w:cstheme="minorHAnsi"/>
          <w:b/>
          <w:sz w:val="24"/>
          <w:szCs w:val="24"/>
          <w:u w:val="single"/>
        </w:rPr>
      </w:pPr>
    </w:p>
    <w:p w14:paraId="781F4B5D" w14:textId="77777777" w:rsidR="00D604C2" w:rsidRDefault="00D604C2" w:rsidP="00D604C2">
      <w:pPr>
        <w:tabs>
          <w:tab w:val="left" w:pos="1788"/>
        </w:tabs>
        <w:rPr>
          <w:rFonts w:cstheme="minorHAnsi"/>
          <w:b/>
          <w:sz w:val="24"/>
          <w:szCs w:val="24"/>
          <w:u w:val="single"/>
        </w:rPr>
      </w:pPr>
    </w:p>
    <w:p w14:paraId="639B1F40" w14:textId="12257AF0" w:rsidR="00D604C2" w:rsidRDefault="00D604C2" w:rsidP="00D604C2">
      <w:pPr>
        <w:tabs>
          <w:tab w:val="left" w:pos="1788"/>
        </w:tabs>
        <w:rPr>
          <w:rFonts w:cstheme="minorHAnsi"/>
          <w:b/>
          <w:sz w:val="24"/>
          <w:szCs w:val="24"/>
          <w:u w:val="single"/>
        </w:rPr>
      </w:pPr>
    </w:p>
    <w:p w14:paraId="510ACCD1" w14:textId="556263F2" w:rsidR="00D604C2" w:rsidRDefault="00D604C2" w:rsidP="00D604C2">
      <w:pPr>
        <w:tabs>
          <w:tab w:val="left" w:pos="1788"/>
        </w:tabs>
        <w:rPr>
          <w:rFonts w:cstheme="minorHAnsi"/>
          <w:b/>
          <w:sz w:val="24"/>
          <w:szCs w:val="24"/>
          <w:u w:val="single"/>
        </w:rPr>
      </w:pPr>
    </w:p>
    <w:p w14:paraId="26603D5A" w14:textId="77777777" w:rsidR="00D604C2" w:rsidRDefault="00D604C2" w:rsidP="00D604C2">
      <w:pPr>
        <w:tabs>
          <w:tab w:val="left" w:pos="1788"/>
        </w:tabs>
        <w:rPr>
          <w:rFonts w:cstheme="minorHAnsi"/>
          <w:b/>
          <w:sz w:val="24"/>
          <w:szCs w:val="24"/>
          <w:u w:val="single"/>
        </w:rPr>
      </w:pPr>
    </w:p>
    <w:p w14:paraId="551E6DDA" w14:textId="77777777" w:rsidR="00D604C2" w:rsidRDefault="00D604C2" w:rsidP="00D604C2">
      <w:pPr>
        <w:tabs>
          <w:tab w:val="left" w:pos="1788"/>
        </w:tabs>
        <w:rPr>
          <w:rFonts w:cstheme="minorHAnsi"/>
          <w:b/>
          <w:sz w:val="24"/>
          <w:szCs w:val="24"/>
          <w:u w:val="single"/>
        </w:rPr>
      </w:pPr>
    </w:p>
    <w:p w14:paraId="0B691AF7" w14:textId="77777777" w:rsidR="00D604C2" w:rsidRDefault="00D604C2" w:rsidP="00D604C2">
      <w:pPr>
        <w:tabs>
          <w:tab w:val="left" w:pos="1788"/>
        </w:tabs>
        <w:rPr>
          <w:rFonts w:cstheme="minorHAnsi"/>
          <w:b/>
          <w:sz w:val="24"/>
          <w:szCs w:val="24"/>
          <w:u w:val="single"/>
        </w:rPr>
      </w:pPr>
    </w:p>
    <w:p w14:paraId="5A3C363E" w14:textId="77777777" w:rsidR="00D604C2" w:rsidRDefault="00D604C2" w:rsidP="00D604C2">
      <w:pPr>
        <w:tabs>
          <w:tab w:val="left" w:pos="1788"/>
        </w:tabs>
        <w:rPr>
          <w:rFonts w:cstheme="minorHAnsi"/>
          <w:b/>
          <w:sz w:val="24"/>
          <w:szCs w:val="24"/>
          <w:u w:val="single"/>
        </w:rPr>
      </w:pPr>
    </w:p>
    <w:p w14:paraId="52F9D16C" w14:textId="77777777" w:rsidR="00D604C2" w:rsidRDefault="00D604C2" w:rsidP="00D604C2">
      <w:pPr>
        <w:tabs>
          <w:tab w:val="left" w:pos="1788"/>
        </w:tabs>
        <w:rPr>
          <w:rFonts w:cstheme="minorHAnsi"/>
          <w:b/>
          <w:sz w:val="24"/>
          <w:szCs w:val="24"/>
          <w:u w:val="single"/>
        </w:rPr>
      </w:pPr>
    </w:p>
    <w:p w14:paraId="54E40176" w14:textId="271BED2F" w:rsidR="00D604C2" w:rsidRPr="00590149" w:rsidRDefault="00AE663B" w:rsidP="00D604C2">
      <w:pPr>
        <w:tabs>
          <w:tab w:val="left" w:pos="1788"/>
        </w:tabs>
        <w:rPr>
          <w:b/>
          <w:bCs/>
          <w:sz w:val="96"/>
          <w:szCs w:val="96"/>
        </w:rPr>
      </w:pPr>
      <w:r>
        <w:rPr>
          <w:b/>
          <w:bCs/>
          <w:sz w:val="96"/>
          <w:szCs w:val="96"/>
        </w:rPr>
        <w:t xml:space="preserve">Governors Allowances </w:t>
      </w:r>
      <w:r w:rsidR="00D604C2" w:rsidRPr="00590149">
        <w:rPr>
          <w:b/>
          <w:bCs/>
          <w:sz w:val="96"/>
          <w:szCs w:val="96"/>
        </w:rPr>
        <w:t>Policy</w:t>
      </w:r>
    </w:p>
    <w:p w14:paraId="4A18F4EB" w14:textId="77777777" w:rsidR="00D604C2" w:rsidRDefault="00D604C2" w:rsidP="00D604C2">
      <w:pPr>
        <w:tabs>
          <w:tab w:val="left" w:pos="1788"/>
        </w:tabs>
        <w:jc w:val="center"/>
        <w:rPr>
          <w:sz w:val="48"/>
          <w:szCs w:val="48"/>
        </w:rPr>
      </w:pPr>
    </w:p>
    <w:p w14:paraId="3A78A82C" w14:textId="77777777" w:rsidR="00D604C2" w:rsidRPr="00E85069" w:rsidRDefault="00D604C2" w:rsidP="00D604C2">
      <w:pPr>
        <w:tabs>
          <w:tab w:val="left" w:pos="1788"/>
        </w:tabs>
        <w:rPr>
          <w:sz w:val="40"/>
          <w:szCs w:val="40"/>
        </w:rPr>
      </w:pPr>
      <w:r w:rsidRPr="00E85069">
        <w:rPr>
          <w:sz w:val="40"/>
          <w:szCs w:val="40"/>
        </w:rPr>
        <w:t>Review frequency: Annually</w:t>
      </w:r>
    </w:p>
    <w:p w14:paraId="41D880CB" w14:textId="6F40225D" w:rsidR="00D604C2" w:rsidRPr="00E85069" w:rsidRDefault="00D604C2" w:rsidP="00D604C2">
      <w:pPr>
        <w:tabs>
          <w:tab w:val="left" w:pos="1788"/>
        </w:tabs>
        <w:rPr>
          <w:sz w:val="40"/>
          <w:szCs w:val="40"/>
        </w:rPr>
      </w:pPr>
      <w:r w:rsidRPr="00E85069">
        <w:rPr>
          <w:sz w:val="40"/>
          <w:szCs w:val="40"/>
        </w:rPr>
        <w:t>Date approved:</w:t>
      </w:r>
      <w:r>
        <w:rPr>
          <w:sz w:val="40"/>
          <w:szCs w:val="40"/>
        </w:rPr>
        <w:t xml:space="preserve"> </w:t>
      </w:r>
      <w:r w:rsidR="0052507B">
        <w:rPr>
          <w:sz w:val="40"/>
          <w:szCs w:val="40"/>
        </w:rPr>
        <w:t>28.2.25</w:t>
      </w:r>
    </w:p>
    <w:p w14:paraId="29D1B94C" w14:textId="77777777" w:rsidR="00D604C2" w:rsidRDefault="00D604C2" w:rsidP="00D604C2">
      <w:pPr>
        <w:tabs>
          <w:tab w:val="left" w:pos="1788"/>
        </w:tabs>
        <w:rPr>
          <w:sz w:val="40"/>
          <w:szCs w:val="40"/>
        </w:rPr>
      </w:pPr>
      <w:r w:rsidRPr="00E85069">
        <w:rPr>
          <w:sz w:val="40"/>
          <w:szCs w:val="40"/>
        </w:rPr>
        <w:t>Approved by:</w:t>
      </w:r>
      <w:r>
        <w:rPr>
          <w:sz w:val="40"/>
          <w:szCs w:val="40"/>
        </w:rPr>
        <w:t xml:space="preserve"> FGB</w:t>
      </w:r>
    </w:p>
    <w:p w14:paraId="6DBE725F" w14:textId="77777777" w:rsidR="00D604C2" w:rsidRDefault="00D604C2" w:rsidP="00D604C2">
      <w:pPr>
        <w:tabs>
          <w:tab w:val="left" w:pos="1788"/>
        </w:tabs>
        <w:rPr>
          <w:sz w:val="40"/>
          <w:szCs w:val="40"/>
        </w:rPr>
      </w:pPr>
    </w:p>
    <w:p w14:paraId="3E369794" w14:textId="77777777" w:rsidR="00D604C2" w:rsidRDefault="00D604C2" w:rsidP="00D604C2">
      <w:pPr>
        <w:tabs>
          <w:tab w:val="left" w:pos="1788"/>
        </w:tabs>
        <w:rPr>
          <w:sz w:val="40"/>
          <w:szCs w:val="40"/>
        </w:rPr>
      </w:pPr>
    </w:p>
    <w:p w14:paraId="4F61E65A" w14:textId="77777777" w:rsidR="00D604C2" w:rsidRDefault="00D604C2" w:rsidP="00D604C2">
      <w:pPr>
        <w:tabs>
          <w:tab w:val="left" w:pos="1788"/>
        </w:tabs>
        <w:rPr>
          <w:sz w:val="40"/>
          <w:szCs w:val="40"/>
        </w:rPr>
      </w:pPr>
    </w:p>
    <w:p w14:paraId="79CEDF83" w14:textId="77777777" w:rsidR="00D604C2" w:rsidRDefault="00D604C2" w:rsidP="00D604C2">
      <w:pPr>
        <w:tabs>
          <w:tab w:val="left" w:pos="1788"/>
        </w:tabs>
        <w:rPr>
          <w:sz w:val="40"/>
          <w:szCs w:val="40"/>
        </w:rPr>
      </w:pPr>
    </w:p>
    <w:p w14:paraId="04E6A101" w14:textId="77777777" w:rsidR="00AE663B" w:rsidRPr="00AE663B" w:rsidRDefault="00AE663B">
      <w:pPr>
        <w:rPr>
          <w:rFonts w:cstheme="minorHAnsi"/>
          <w:bCs/>
          <w:sz w:val="24"/>
          <w:szCs w:val="24"/>
        </w:rPr>
      </w:pPr>
      <w:r w:rsidRPr="00AE663B">
        <w:rPr>
          <w:rFonts w:cstheme="minorHAnsi"/>
          <w:bCs/>
          <w:sz w:val="24"/>
          <w:szCs w:val="24"/>
        </w:rPr>
        <w:lastRenderedPageBreak/>
        <w:t xml:space="preserve">1. Aims The governing board has decided to pay reasonable allowances from the school’s delegated budget to cover any costs that board members incur through carrying out their duties. This policy sets out the terms on which such allowances will be paid. By adopting this policy, we will ensure that no member of the community is prevented from becoming a governor on the grounds of cost. </w:t>
      </w:r>
    </w:p>
    <w:p w14:paraId="12E2B495" w14:textId="77777777" w:rsidR="00AE663B" w:rsidRPr="00AE663B" w:rsidRDefault="00AE663B">
      <w:pPr>
        <w:rPr>
          <w:rFonts w:cstheme="minorHAnsi"/>
          <w:bCs/>
          <w:sz w:val="24"/>
          <w:szCs w:val="24"/>
        </w:rPr>
      </w:pPr>
      <w:r w:rsidRPr="00AE663B">
        <w:rPr>
          <w:rFonts w:cstheme="minorHAnsi"/>
          <w:bCs/>
          <w:sz w:val="24"/>
          <w:szCs w:val="24"/>
        </w:rPr>
        <w:t xml:space="preserve">2. Legislation and guidance The Governance Handbook (section 4.6.1, paragraph 50) allows boards in maintained schools with a delegated budget to choose whether or not to pay allowances to board members. Where they choose to do so, it must be in accordance with a policy or scheme. </w:t>
      </w:r>
    </w:p>
    <w:p w14:paraId="2C5FE1BA" w14:textId="77777777" w:rsidR="00AE663B" w:rsidRPr="00AE663B" w:rsidRDefault="00AE663B">
      <w:pPr>
        <w:rPr>
          <w:rFonts w:cstheme="minorHAnsi"/>
          <w:bCs/>
          <w:sz w:val="24"/>
          <w:szCs w:val="24"/>
        </w:rPr>
      </w:pPr>
      <w:r w:rsidRPr="00AE663B">
        <w:rPr>
          <w:rFonts w:cstheme="minorHAnsi"/>
          <w:bCs/>
          <w:sz w:val="24"/>
          <w:szCs w:val="24"/>
        </w:rPr>
        <w:t xml:space="preserve">The legislation on governors’ allowances is set out in the School Governance (Roles, Procedures and Allowances) (England) Regulations 2013, part 6. </w:t>
      </w:r>
    </w:p>
    <w:p w14:paraId="02275E50" w14:textId="53EC6B49" w:rsidR="00AE663B" w:rsidRPr="00AE663B" w:rsidRDefault="00AE663B">
      <w:pPr>
        <w:rPr>
          <w:rFonts w:cstheme="minorHAnsi"/>
          <w:bCs/>
          <w:sz w:val="24"/>
          <w:szCs w:val="24"/>
        </w:rPr>
      </w:pPr>
      <w:r w:rsidRPr="00AE663B">
        <w:rPr>
          <w:rFonts w:cstheme="minorHAnsi"/>
          <w:bCs/>
          <w:sz w:val="24"/>
          <w:szCs w:val="24"/>
        </w:rPr>
        <w:t xml:space="preserve">3. Overview Members of the governing board may claim allowances to cover expenditure necessary to enable them to perform their duties. This does not include an attendance allowance, or payment to cover loss of earnings. Members of the governing board may claim allowances by completing a claim form via email sought from SBM and submitting it to the Headteacher. Allowances will only be paid on the provision of a receipt, and will be limited to the amount shown on the receipt. Members of the governing board may claim for: </w:t>
      </w:r>
    </w:p>
    <w:p w14:paraId="028DA688" w14:textId="77777777" w:rsidR="00AE663B" w:rsidRPr="00AE663B" w:rsidRDefault="00AE663B">
      <w:pPr>
        <w:rPr>
          <w:rFonts w:cstheme="minorHAnsi"/>
          <w:bCs/>
          <w:sz w:val="24"/>
          <w:szCs w:val="24"/>
        </w:rPr>
      </w:pPr>
      <w:r w:rsidRPr="00AE663B">
        <w:rPr>
          <w:rFonts w:cstheme="minorHAnsi"/>
          <w:bCs/>
          <w:sz w:val="24"/>
          <w:szCs w:val="24"/>
        </w:rPr>
        <w:t xml:space="preserve">• Childcare </w:t>
      </w:r>
    </w:p>
    <w:p w14:paraId="4F631918" w14:textId="77777777" w:rsidR="00AE663B" w:rsidRPr="00AE663B" w:rsidRDefault="00AE663B">
      <w:pPr>
        <w:rPr>
          <w:rFonts w:cstheme="minorHAnsi"/>
          <w:bCs/>
          <w:sz w:val="24"/>
          <w:szCs w:val="24"/>
        </w:rPr>
      </w:pPr>
      <w:r w:rsidRPr="00AE663B">
        <w:rPr>
          <w:rFonts w:cstheme="minorHAnsi"/>
          <w:bCs/>
          <w:sz w:val="24"/>
          <w:szCs w:val="24"/>
        </w:rPr>
        <w:t>• Care for elderly or dependent relatives</w:t>
      </w:r>
    </w:p>
    <w:p w14:paraId="04BE9C79" w14:textId="77777777" w:rsidR="00AE663B" w:rsidRPr="00AE663B" w:rsidRDefault="00AE663B">
      <w:pPr>
        <w:rPr>
          <w:rFonts w:cstheme="minorHAnsi"/>
          <w:bCs/>
          <w:sz w:val="24"/>
          <w:szCs w:val="24"/>
        </w:rPr>
      </w:pPr>
      <w:r w:rsidRPr="00AE663B">
        <w:rPr>
          <w:rFonts w:cstheme="minorHAnsi"/>
          <w:bCs/>
          <w:sz w:val="24"/>
          <w:szCs w:val="24"/>
        </w:rPr>
        <w:t xml:space="preserve"> • Extra costs incurred because they have a special need or English as a second language </w:t>
      </w:r>
    </w:p>
    <w:p w14:paraId="5EAF5D69" w14:textId="77777777" w:rsidR="00AE663B" w:rsidRPr="00AE663B" w:rsidRDefault="00AE663B">
      <w:pPr>
        <w:rPr>
          <w:rFonts w:cstheme="minorHAnsi"/>
          <w:bCs/>
          <w:sz w:val="24"/>
          <w:szCs w:val="24"/>
        </w:rPr>
      </w:pPr>
      <w:r w:rsidRPr="00AE663B">
        <w:rPr>
          <w:rFonts w:cstheme="minorHAnsi"/>
          <w:bCs/>
          <w:sz w:val="24"/>
          <w:szCs w:val="24"/>
        </w:rPr>
        <w:t xml:space="preserve">• Travel and subsistence costs </w:t>
      </w:r>
    </w:p>
    <w:p w14:paraId="66C6674D" w14:textId="77777777" w:rsidR="00AE663B" w:rsidRPr="00AE663B" w:rsidRDefault="00AE663B">
      <w:pPr>
        <w:rPr>
          <w:rFonts w:cstheme="minorHAnsi"/>
          <w:bCs/>
          <w:sz w:val="24"/>
          <w:szCs w:val="24"/>
        </w:rPr>
      </w:pPr>
      <w:r w:rsidRPr="00AE663B">
        <w:rPr>
          <w:rFonts w:cstheme="minorHAnsi"/>
          <w:bCs/>
          <w:sz w:val="24"/>
          <w:szCs w:val="24"/>
        </w:rPr>
        <w:t xml:space="preserve">• Telephone charges, photocopying, postage, stationery, etc. </w:t>
      </w:r>
    </w:p>
    <w:p w14:paraId="191B35C0" w14:textId="77777777" w:rsidR="00AE663B" w:rsidRPr="00AE663B" w:rsidRDefault="00AE663B">
      <w:pPr>
        <w:rPr>
          <w:rFonts w:cstheme="minorHAnsi"/>
          <w:bCs/>
          <w:sz w:val="24"/>
          <w:szCs w:val="24"/>
        </w:rPr>
      </w:pPr>
      <w:r w:rsidRPr="00AE663B">
        <w:rPr>
          <w:rFonts w:cstheme="minorHAnsi"/>
          <w:bCs/>
          <w:sz w:val="24"/>
          <w:szCs w:val="24"/>
        </w:rPr>
        <w:t xml:space="preserve">• Other justifiable allowances </w:t>
      </w:r>
    </w:p>
    <w:p w14:paraId="7B7433E4" w14:textId="77777777" w:rsidR="00AE663B" w:rsidRPr="00AE663B" w:rsidRDefault="00AE663B">
      <w:pPr>
        <w:rPr>
          <w:rFonts w:cstheme="minorHAnsi"/>
          <w:bCs/>
          <w:sz w:val="24"/>
          <w:szCs w:val="24"/>
        </w:rPr>
      </w:pPr>
      <w:r w:rsidRPr="00AE663B">
        <w:rPr>
          <w:rFonts w:cstheme="minorHAnsi"/>
          <w:bCs/>
          <w:sz w:val="24"/>
          <w:szCs w:val="24"/>
        </w:rPr>
        <w:t xml:space="preserve">Claims will be paid in arrears on a case-by-case basis. Reimbursable costs should be agreed in principle by two of the Headteacher, Chair of Governors or Vice-Chair of Governors before they are incurred. The chair of governors (or the vice-chair, where appropriate) may investigate claims that appear excessive or inconsistent. All claims will be subject to an independent audit. </w:t>
      </w:r>
    </w:p>
    <w:p w14:paraId="3EC0C250" w14:textId="11E61675" w:rsidR="00AE663B" w:rsidRPr="00AE663B" w:rsidRDefault="00AE663B">
      <w:pPr>
        <w:rPr>
          <w:rFonts w:cstheme="minorHAnsi"/>
          <w:bCs/>
          <w:sz w:val="24"/>
          <w:szCs w:val="24"/>
        </w:rPr>
      </w:pPr>
      <w:r w:rsidRPr="00AE663B">
        <w:rPr>
          <w:rFonts w:cstheme="minorHAnsi"/>
          <w:bCs/>
          <w:sz w:val="24"/>
          <w:szCs w:val="24"/>
        </w:rPr>
        <w:t xml:space="preserve">Travel expenses where a governor uses their own vehicle must not exceed the HM Revenue and Customs (HMRC) approved mileage rates.  </w:t>
      </w:r>
    </w:p>
    <w:p w14:paraId="0F6A8A61" w14:textId="78BEC867" w:rsidR="00AE663B" w:rsidRPr="00AE663B" w:rsidRDefault="00AE663B" w:rsidP="00AE663B">
      <w:pPr>
        <w:rPr>
          <w:bCs/>
        </w:rPr>
      </w:pPr>
      <w:r w:rsidRPr="00AE663B">
        <w:rPr>
          <w:rFonts w:cstheme="minorHAnsi"/>
          <w:bCs/>
          <w:sz w:val="24"/>
          <w:szCs w:val="24"/>
        </w:rPr>
        <w:t>4. Monitoring arrangements This policy will be reviewed every three years. Any amendments will be presented at a meeting of the full governing board.</w:t>
      </w:r>
    </w:p>
    <w:p w14:paraId="6241049D" w14:textId="41036CF4" w:rsidR="00D529D2" w:rsidRPr="00410841" w:rsidRDefault="00D529D2" w:rsidP="002D094C"/>
    <w:sectPr w:rsidR="00D529D2" w:rsidRPr="00410841" w:rsidSect="000E26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1770F"/>
    <w:multiLevelType w:val="hybridMultilevel"/>
    <w:tmpl w:val="9EE67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A2739"/>
    <w:multiLevelType w:val="hybridMultilevel"/>
    <w:tmpl w:val="F468CF10"/>
    <w:lvl w:ilvl="0" w:tplc="4DA2960C">
      <w:numFmt w:val="bullet"/>
      <w:lvlText w:val="-"/>
      <w:lvlJc w:val="left"/>
      <w:pPr>
        <w:ind w:left="420" w:hanging="360"/>
      </w:pPr>
      <w:rPr>
        <w:rFonts w:ascii="Calibri" w:eastAsiaTheme="minorHAnsi" w:hAnsi="Calibri" w:cstheme="minorHAns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192139CE"/>
    <w:multiLevelType w:val="hybridMultilevel"/>
    <w:tmpl w:val="B176B086"/>
    <w:lvl w:ilvl="0" w:tplc="4DA2960C">
      <w:numFmt w:val="bullet"/>
      <w:lvlText w:val="-"/>
      <w:lvlJc w:val="left"/>
      <w:pPr>
        <w:ind w:left="4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D62A7"/>
    <w:multiLevelType w:val="hybridMultilevel"/>
    <w:tmpl w:val="E108A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D90F06"/>
    <w:multiLevelType w:val="hybridMultilevel"/>
    <w:tmpl w:val="149C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187751"/>
    <w:multiLevelType w:val="hybridMultilevel"/>
    <w:tmpl w:val="5AE479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8B0D82"/>
    <w:multiLevelType w:val="hybridMultilevel"/>
    <w:tmpl w:val="3BC66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4C7DBA"/>
    <w:multiLevelType w:val="hybridMultilevel"/>
    <w:tmpl w:val="E5CA2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003139"/>
    <w:multiLevelType w:val="hybridMultilevel"/>
    <w:tmpl w:val="08C4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652D9D"/>
    <w:multiLevelType w:val="hybridMultilevel"/>
    <w:tmpl w:val="75D847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FF52D0"/>
    <w:multiLevelType w:val="hybridMultilevel"/>
    <w:tmpl w:val="7DA0E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7"/>
  </w:num>
  <w:num w:numId="6">
    <w:abstractNumId w:val="5"/>
  </w:num>
  <w:num w:numId="7">
    <w:abstractNumId w:val="9"/>
  </w:num>
  <w:num w:numId="8">
    <w:abstractNumId w:val="6"/>
  </w:num>
  <w:num w:numId="9">
    <w:abstractNumId w:val="0"/>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841"/>
    <w:rsid w:val="00007B49"/>
    <w:rsid w:val="00080D7A"/>
    <w:rsid w:val="0009486A"/>
    <w:rsid w:val="000C6B5C"/>
    <w:rsid w:val="000E26A2"/>
    <w:rsid w:val="002A4F7D"/>
    <w:rsid w:val="002D094C"/>
    <w:rsid w:val="002E7788"/>
    <w:rsid w:val="003168FE"/>
    <w:rsid w:val="003F0AAA"/>
    <w:rsid w:val="00410841"/>
    <w:rsid w:val="0042106C"/>
    <w:rsid w:val="00423DBA"/>
    <w:rsid w:val="0052507B"/>
    <w:rsid w:val="00561A89"/>
    <w:rsid w:val="005F79A8"/>
    <w:rsid w:val="007B27A6"/>
    <w:rsid w:val="007F16C8"/>
    <w:rsid w:val="008260F4"/>
    <w:rsid w:val="0091092B"/>
    <w:rsid w:val="00A9243A"/>
    <w:rsid w:val="00AC7B39"/>
    <w:rsid w:val="00AE663B"/>
    <w:rsid w:val="00CD0491"/>
    <w:rsid w:val="00D529D2"/>
    <w:rsid w:val="00D604C2"/>
    <w:rsid w:val="00FD3C37"/>
    <w:rsid w:val="00FE4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CBE21"/>
  <w15:chartTrackingRefBased/>
  <w15:docId w15:val="{261C9196-09D9-455E-B709-EDCC6909A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841"/>
    <w:pPr>
      <w:ind w:left="720"/>
      <w:contextualSpacing/>
    </w:pPr>
  </w:style>
  <w:style w:type="paragraph" w:styleId="BalloonText">
    <w:name w:val="Balloon Text"/>
    <w:basedOn w:val="Normal"/>
    <w:link w:val="BalloonTextChar"/>
    <w:uiPriority w:val="99"/>
    <w:semiHidden/>
    <w:unhideWhenUsed/>
    <w:rsid w:val="002A4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F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6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680C209932324387CE64A641C80E55" ma:contentTypeVersion="19" ma:contentTypeDescription="Create a new document." ma:contentTypeScope="" ma:versionID="bf9bbe3090dfd4702d1105acca5a5838">
  <xsd:schema xmlns:xsd="http://www.w3.org/2001/XMLSchema" xmlns:xs="http://www.w3.org/2001/XMLSchema" xmlns:p="http://schemas.microsoft.com/office/2006/metadata/properties" xmlns:ns2="166979ed-bdc1-42d9-aea9-0b9cf090b79e" xmlns:ns3="e55fbae6-dd82-4f7b-b9e4-bc30aefe1511" targetNamespace="http://schemas.microsoft.com/office/2006/metadata/properties" ma:root="true" ma:fieldsID="cd6ff1f00d86993216d70c60e4715aee" ns2:_="" ns3:_="">
    <xsd:import namespace="166979ed-bdc1-42d9-aea9-0b9cf090b79e"/>
    <xsd:import namespace="e55fbae6-dd82-4f7b-b9e4-bc30aefe15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6979ed-bdc1-42d9-aea9-0b9cf090b7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5fbae6-dd82-4f7b-b9e4-bc30aefe151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3b19ecf-f3b5-4e84-9b40-96e15c58e8ec}" ma:internalName="TaxCatchAll" ma:showField="CatchAllData" ma:web="e55fbae6-dd82-4f7b-b9e4-bc30aefe15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6979ed-bdc1-42d9-aea9-0b9cf090b79e">
      <Terms xmlns="http://schemas.microsoft.com/office/infopath/2007/PartnerControls"/>
    </lcf76f155ced4ddcb4097134ff3c332f>
    <TaxCatchAll xmlns="e55fbae6-dd82-4f7b-b9e4-bc30aefe1511" xsi:nil="true"/>
    <_Flow_SignoffStatus xmlns="166979ed-bdc1-42d9-aea9-0b9cf090b7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871E96-6FD4-412A-B7C9-CFC1976B4A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6979ed-bdc1-42d9-aea9-0b9cf090b79e"/>
    <ds:schemaRef ds:uri="e55fbae6-dd82-4f7b-b9e4-bc30aefe15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DFA60D-D479-40B5-A0DD-4F861FFCC3E3}">
  <ds:schemaRefs>
    <ds:schemaRef ds:uri="http://schemas.microsoft.com/office/2006/metadata/properties"/>
    <ds:schemaRef ds:uri="http://schemas.microsoft.com/office/infopath/2007/PartnerControls"/>
    <ds:schemaRef ds:uri="166979ed-bdc1-42d9-aea9-0b9cf090b79e"/>
    <ds:schemaRef ds:uri="e55fbae6-dd82-4f7b-b9e4-bc30aefe1511"/>
  </ds:schemaRefs>
</ds:datastoreItem>
</file>

<file path=customXml/itemProps3.xml><?xml version="1.0" encoding="utf-8"?>
<ds:datastoreItem xmlns:ds="http://schemas.openxmlformats.org/officeDocument/2006/customXml" ds:itemID="{DD215707-02C0-4689-AD59-56B5D7E4EF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Sharp</dc:creator>
  <cp:keywords/>
  <dc:description/>
  <cp:lastModifiedBy>Robin Hood Primary Headteacher</cp:lastModifiedBy>
  <cp:revision>2</cp:revision>
  <cp:lastPrinted>2021-05-21T14:00:00Z</cp:lastPrinted>
  <dcterms:created xsi:type="dcterms:W3CDTF">2025-02-09T15:33:00Z</dcterms:created>
  <dcterms:modified xsi:type="dcterms:W3CDTF">2025-02-09T15:33:00Z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0x0101002B680C209932324387CE64A641C80E55</vt:lpwstr>
  </property>
</Properties>
</file>